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9" w:rsidRPr="005A54F9" w:rsidRDefault="005A54F9" w:rsidP="005A54F9">
      <w:pPr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методические и педагогические требования к проведению внеурочных занятий в помещении: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Средняя продолжительность занятия 20-25 минут. Такой временной регламент связан с местом занятия в режиме дня и его основным функциональным назначением – стать формой полезного активного отдыха, подготовить организм к дальнейшей учебной нагрузке.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не копировать урок ни с позиции содержательной начинки занятия, ни с позиции его структурных компонентов, ни со стороны способов деятельности.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Создать условия для смены видов деятельности, отличных </w:t>
      </w: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от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 учебной, обеспечивая продуктивный отдых.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Обеспечивать непринужденную и доброжелательную обстановку, способствующую раскрепощению и снятию напряжения.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Выстраивать каждое занятие как вид коллективной деятельности.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Без принуждения вовлекать учащихся в процесс занятий, педагогически целесообразно чередуя ролевой функционал участников.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Всячески поддерживать и поощрять детское соучастие и инициативу в подготовке и проведении занятия.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Умело организовывать психологический настрой на занятии, пробуждая интерес, любопытство, удивление детей, возбуждая радостное ожидание предстоящего события.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Привлекать детей к участию в определении целей и задач занятия, стремиться обеспечить каждому ребенку личностное восприятие педагогического замысла.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Гибко выстраивать структурные части занятия, своевременно улавливать изменения в настроении детей и вносить необходимые коррективы.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Завершать каждое занятие его коллективным анализом, в том числе и с позиции соответствия его содержания и формы личностному ожиданию каждого участника.</w:t>
      </w:r>
    </w:p>
    <w:p w:rsidR="005A54F9" w:rsidRPr="005A54F9" w:rsidRDefault="005A54F9" w:rsidP="005A54F9">
      <w:pPr>
        <w:numPr>
          <w:ilvl w:val="0"/>
          <w:numId w:val="1"/>
        </w:numPr>
        <w:spacing w:after="0" w:line="240" w:lineRule="auto"/>
        <w:ind w:left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Давать эмоционально привлекательный педагогический анонс следующего занятия вместе с запуском недельной подготовки к нему.</w:t>
      </w:r>
    </w:p>
    <w:p w:rsidR="005A54F9" w:rsidRPr="005A54F9" w:rsidRDefault="005A54F9" w:rsidP="005A54F9">
      <w:pPr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Уже в вышеизложенных требованиях присутствует педагогическая ориентировка на отношение к воспитательному занятию как досуговому. Она еще более усиливается и рельефно обозначается при вводе дополнительных требований, соответствующих досуговым ожиданиям. К ним относятся:</w:t>
      </w: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Игровое оформление предлагаемых видов деятельности.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-Опора на методы собственно досуговой деятельности, такие, как: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 театрализация;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 состязательность;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 экспромт и импровизация;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 равноправный духовный контакт всех участников.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- Яркая, неординарная формообразующая оболочка.</w:t>
      </w:r>
    </w:p>
    <w:p w:rsidR="005A54F9" w:rsidRPr="005A54F9" w:rsidRDefault="005A54F9" w:rsidP="005A54F9">
      <w:pPr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Примерная технологическая карта подготовки и проведения внеклассного воспитательного занятия</w:t>
      </w:r>
    </w:p>
    <w:p w:rsidR="005A54F9" w:rsidRPr="005A54F9" w:rsidRDefault="005A54F9" w:rsidP="005A54F9">
      <w:pPr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Данная технологическая карта подготовки и проведения воспитательного занятия и поясняющий ее комментарий является ориентиром для высокого уровня профессиональной деятельности, к которому следует стремиться.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  <w:t>Рассмотрим основные компоненты внеклассного воспитательного занятия: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I. Подготовительный этап.</w:t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Чтобы занятие стало ярким событием, необходимо: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Разнообразная по содержанию и способам оформления и ввода в действие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реклама,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задача которой – воодушевить ребят на участие в нем, привлечь внимание, вызвать интерес.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Реклама может быть обычной,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плоскостной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(афиша, объявление) и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объемной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(тумба, шар, дом).</w:t>
      </w:r>
      <w:proofErr w:type="gramEnd"/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lastRenderedPageBreak/>
        <w:t>Реклама может быть «ходячей»,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передвигающейся.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Представьте себе ребят, дефилирующих по школе накануне праздника с рекламными текстами на спине и груди.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Реклама может быть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театрализованной.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Ее носители – специально подготовленные группы бродячих артистов, глашатаи, популярные герои книг и мультфильмов.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Реклама может быть сделана с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привлечением школьного радио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и таких средств массовой информации, как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листовки.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Рекламными по сути станут разнообразные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почтовые отправления,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направленные в адрес группы: телеграммы, уведомления, письма, карты, путеводители и </w:t>
      </w:r>
      <w:proofErr w:type="spellStart"/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Приглашение –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акт творческий и деликатный, но всегда очень приятный. По адресной направленности приглашения могут быть коллективными (для всей группы) и индивидуальными. Всегда вызывает интерес необычная форма пригласительных билетов: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билеты – игрушки;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билеты – шапочки;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билеты – закладки;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билеты – программы и т.д.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Календарь,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который изготовят и вывесят в своем классе учащиеся группы продленного дня, также поможет создать нужный психологический настрой. Каждый день он будет напоминать о приближении желанного события. Например: «До открытия вернисажа пальчиковой живописи учащихся нашей группы осталось 4 дня».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proofErr w:type="gramStart"/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Репетиционный приготовления,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которые проводятся в узком кругу участников за закрытыми от любопытных глаз дверями, также внесут свою лепту в общую интригу ожидания.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Секретные переговоры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воспитателя с родителями по поводу сюрпризных моментов тоже не останутся </w:t>
      </w: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незамеченными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 и выполняет свое предназначение.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II. Психологический настрой.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 него непосредственно начинается занятие. То эмоциональнее состояние радостного ожидания, которое было вызвано на этапе подготовительной работы, должно получить свое подтверждение и развитие и в момент начала воспитательного занятия. Средствами достижения этой задачи могут быть: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Оформление помещения,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преобразование пространства классной комнаты, создание на привычном месте необычной мизансцены.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Необычное освещение,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которое и </w:t>
      </w: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несет в себе особое таинство достигается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 с помощью настольных ламп со специально окрашенными лампочками или абажурами, свечей, новогодних гирлянд, зеркал.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Музыкальный фон,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создающий соответствующий настрой. У музыки могут быть и другие функции: быть эпиграфом (визитной карточкой) к теме разговора; нести самостоятельную смысловую нагрузку; выступать </w:t>
      </w:r>
      <w:proofErr w:type="spell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разграничителем</w:t>
      </w:r>
      <w:proofErr w:type="spell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 отдельных структурных частей сценарного замысла и др.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Особые ритуалы,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церемонии, действия, магические слова, имеющие для данного коллектива детей особое символическое значение.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Необычная сценическая завязка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действия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интригующая новизной впечатления.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Специально подготовленное </w:t>
      </w:r>
      <w:r w:rsidRPr="005A54F9">
        <w:rPr>
          <w:rFonts w:ascii=";" w:eastAsia="Times New Roman" w:hAnsi=";" w:cs="Times New Roman"/>
          <w:b/>
          <w:bCs/>
          <w:i/>
          <w:iCs/>
          <w:color w:val="333333"/>
          <w:sz w:val="24"/>
          <w:szCs w:val="24"/>
          <w:lang w:eastAsia="ru-RU"/>
        </w:rPr>
        <w:t>вступительное слово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ведущего – своеобразный пролог к действию (часто в виде притчи, легенды, сказки, письма), эмоциональное обращение к присутствующим с целью возбудить интерес к происходящему и обнажить личностный смысл участия в нем каждого.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III. Достижение предметного результата.</w:t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Это реализация основной части задуманного. Здесь все зависит от конкретной задумки. Однако существуют и общие рекомендации: занятие не должно затягиваться, эмоционально перенасыщать детей.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 xml:space="preserve">IV. </w:t>
      </w:r>
      <w:proofErr w:type="spellStart"/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Финально</w:t>
      </w:r>
      <w:proofErr w:type="spellEnd"/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-аккордная часть.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 xml:space="preserve">Ее назначение – стать конечной точкой, придающей всему красивое и благородное завершение, вызвать у участников чувство удовлетворения и общей радости от причастности к случившемуся. Средствами достижения нужного 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lastRenderedPageBreak/>
        <w:t>результата могут быть: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br/>
      </w:r>
      <w:r w:rsidRPr="005A54F9">
        <w:rPr>
          <w:rFonts w:ascii=";" w:eastAsia="Times New Roman" w:hAnsi=";" w:cs="Times New Roman"/>
          <w:b/>
          <w:bCs/>
          <w:color w:val="333333"/>
          <w:sz w:val="24"/>
          <w:szCs w:val="24"/>
          <w:lang w:eastAsia="ru-RU"/>
        </w:rPr>
        <w:t>V. Педагогическое последействие. </w:t>
      </w: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Организуется как краткий итог проведенного занятия и может иметь продолжение во время свободного общения после его завершения. В процессе обсуждения поддерживается положительно окрашенное эмоциональное состояние ребенка, а результатом должно быть осознание учащимися так называемой, «ближайшей перспективы».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proofErr w:type="gramStart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</w:t>
      </w:r>
      <w:proofErr w:type="gramEnd"/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лова персональной признательности и благодарности всем виновникам события, в том числе и «закулисным героям»;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сюрпризные моменты, оставленные «на сладкое»;</w:t>
      </w:r>
    </w:p>
    <w:p w:rsidR="005A54F9" w:rsidRPr="005A54F9" w:rsidRDefault="005A54F9" w:rsidP="005A5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5A54F9">
        <w:rPr>
          <w:rFonts w:ascii=";" w:eastAsia="Times New Roman" w:hAnsi=";" w:cs="Times New Roman"/>
          <w:color w:val="333333"/>
          <w:sz w:val="24"/>
          <w:szCs w:val="24"/>
          <w:lang w:eastAsia="ru-RU"/>
        </w:rPr>
        <w:t>самодельные подарки и сувениры.</w:t>
      </w:r>
    </w:p>
    <w:p w:rsidR="00DD65E9" w:rsidRDefault="00DD65E9"/>
    <w:sectPr w:rsidR="00DD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958"/>
    <w:multiLevelType w:val="multilevel"/>
    <w:tmpl w:val="76A8A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29E9"/>
    <w:multiLevelType w:val="multilevel"/>
    <w:tmpl w:val="139A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9"/>
    <w:rsid w:val="005A54F9"/>
    <w:rsid w:val="00D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4F9"/>
    <w:rPr>
      <w:i/>
      <w:iCs/>
    </w:rPr>
  </w:style>
  <w:style w:type="character" w:styleId="a5">
    <w:name w:val="Strong"/>
    <w:basedOn w:val="a0"/>
    <w:uiPriority w:val="22"/>
    <w:qFormat/>
    <w:rsid w:val="005A5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4F9"/>
    <w:rPr>
      <w:i/>
      <w:iCs/>
    </w:rPr>
  </w:style>
  <w:style w:type="character" w:styleId="a5">
    <w:name w:val="Strong"/>
    <w:basedOn w:val="a0"/>
    <w:uiPriority w:val="22"/>
    <w:qFormat/>
    <w:rsid w:val="005A5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2024-10-08T08:21:00Z</dcterms:created>
  <dcterms:modified xsi:type="dcterms:W3CDTF">2024-10-08T08:23:00Z</dcterms:modified>
</cp:coreProperties>
</file>